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0EF" w:rsidRDefault="004570EF" w:rsidP="001347D8">
      <w:pPr>
        <w:tabs>
          <w:tab w:val="left" w:pos="4500"/>
          <w:tab w:val="left" w:pos="7380"/>
        </w:tabs>
        <w:rPr>
          <w:sz w:val="22"/>
          <w:szCs w:val="22"/>
        </w:rPr>
      </w:pPr>
    </w:p>
    <w:p w:rsidR="0000262F" w:rsidRDefault="0000262F" w:rsidP="0000262F">
      <w:pPr>
        <w:ind w:left="397"/>
        <w:rPr>
          <w:b/>
          <w:sz w:val="22"/>
        </w:rPr>
      </w:pPr>
    </w:p>
    <w:p w:rsidR="00793658" w:rsidRDefault="00793658" w:rsidP="00A403C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2"/>
          <w:szCs w:val="22"/>
          <w:lang w:val="es-ES_tradnl"/>
        </w:rPr>
      </w:pPr>
    </w:p>
    <w:p w:rsidR="00793658" w:rsidRPr="00464C09" w:rsidRDefault="00793658" w:rsidP="00A403C0">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2"/>
          <w:szCs w:val="22"/>
          <w:lang w:val="es-ES_tradnl"/>
        </w:rPr>
      </w:pPr>
      <w:r w:rsidRPr="00464C09">
        <w:rPr>
          <w:b/>
          <w:sz w:val="22"/>
          <w:szCs w:val="22"/>
          <w:lang w:val="es-ES_tradnl"/>
        </w:rPr>
        <w:t>PROPUESTA  A CONSEJO DE GOB</w:t>
      </w:r>
      <w:bookmarkStart w:id="0" w:name="_GoBack"/>
      <w:bookmarkEnd w:id="0"/>
      <w:r w:rsidRPr="00464C09">
        <w:rPr>
          <w:b/>
          <w:sz w:val="22"/>
          <w:szCs w:val="22"/>
          <w:lang w:val="es-ES_tradnl"/>
        </w:rPr>
        <w:t>IERNO</w:t>
      </w:r>
    </w:p>
    <w:p w:rsidR="00793658" w:rsidRDefault="00793658" w:rsidP="00A403C0">
      <w:pPr>
        <w:pStyle w:val="Textoindependiente"/>
        <w:shd w:val="clear" w:color="auto" w:fill="BFBFBF" w:themeFill="background1" w:themeFillShade="BF"/>
        <w:jc w:val="center"/>
        <w:rPr>
          <w:sz w:val="22"/>
          <w:szCs w:val="22"/>
        </w:rPr>
      </w:pPr>
      <w:r>
        <w:rPr>
          <w:sz w:val="22"/>
          <w:szCs w:val="22"/>
        </w:rPr>
        <w:t>ACUERDO DE MODIFICACIÓN DE ASIGNACIÓN Y ENCARGO DOCENTES DE LA ASIGNATURA “FARMACOLOGÍA” DEL GRADO EN ENFERMERÍA</w:t>
      </w:r>
    </w:p>
    <w:p w:rsidR="00793658" w:rsidRDefault="00793658" w:rsidP="00A403C0">
      <w:pPr>
        <w:pStyle w:val="Textoindependiente"/>
        <w:shd w:val="clear" w:color="auto" w:fill="BFBFBF" w:themeFill="background1" w:themeFillShade="BF"/>
        <w:jc w:val="center"/>
        <w:rPr>
          <w:sz w:val="22"/>
          <w:szCs w:val="22"/>
        </w:rPr>
      </w:pPr>
    </w:p>
    <w:p w:rsidR="00793658" w:rsidRDefault="00793658" w:rsidP="00793658">
      <w:pPr>
        <w:rPr>
          <w:sz w:val="22"/>
          <w:szCs w:val="22"/>
          <w:lang w:val="es-ES_tradnl"/>
        </w:rPr>
      </w:pPr>
    </w:p>
    <w:p w:rsidR="00793658" w:rsidRDefault="00793658" w:rsidP="0000262F">
      <w:pPr>
        <w:ind w:left="397"/>
        <w:rPr>
          <w:b/>
          <w:sz w:val="22"/>
        </w:rPr>
      </w:pPr>
    </w:p>
    <w:p w:rsidR="0000262F" w:rsidRPr="00A307D4" w:rsidRDefault="0000262F" w:rsidP="0000262F">
      <w:pPr>
        <w:ind w:left="397"/>
        <w:rPr>
          <w:b/>
          <w:sz w:val="22"/>
        </w:rPr>
      </w:pPr>
    </w:p>
    <w:p w:rsidR="0000262F" w:rsidRPr="00A307D4" w:rsidRDefault="0000262F" w:rsidP="0000262F">
      <w:pPr>
        <w:ind w:left="397"/>
        <w:rPr>
          <w:b/>
          <w:sz w:val="22"/>
        </w:rPr>
      </w:pPr>
      <w:r w:rsidRPr="00A307D4">
        <w:rPr>
          <w:b/>
          <w:sz w:val="22"/>
          <w:szCs w:val="22"/>
        </w:rPr>
        <w:t>1.- EXPOSICIÓN DE ANTECEDENTES:</w:t>
      </w:r>
    </w:p>
    <w:p w:rsidR="0000262F" w:rsidRDefault="0000262F" w:rsidP="0000262F">
      <w:pPr>
        <w:ind w:left="397"/>
        <w:rPr>
          <w:sz w:val="22"/>
        </w:rPr>
      </w:pPr>
    </w:p>
    <w:p w:rsidR="0000262F" w:rsidRDefault="0000262F" w:rsidP="001B3C71">
      <w:pPr>
        <w:ind w:left="397"/>
        <w:jc w:val="both"/>
        <w:rPr>
          <w:rFonts w:cs="Verdana"/>
          <w:bCs/>
          <w:sz w:val="22"/>
        </w:rPr>
      </w:pPr>
    </w:p>
    <w:p w:rsidR="0000262F" w:rsidRDefault="0000262F" w:rsidP="001B3C71">
      <w:pPr>
        <w:ind w:left="397"/>
        <w:jc w:val="both"/>
        <w:rPr>
          <w:rFonts w:cs="Verdana"/>
          <w:bCs/>
          <w:sz w:val="22"/>
          <w:szCs w:val="22"/>
        </w:rPr>
      </w:pPr>
      <w:r>
        <w:rPr>
          <w:rFonts w:cs="Verdana"/>
          <w:bCs/>
          <w:sz w:val="22"/>
          <w:szCs w:val="22"/>
        </w:rPr>
        <w:t xml:space="preserve">El Consejo de Gobierno, en sesión de 20 de abril de 2009 aprobó la asignación y encargo docentes de las asignaturas del Grado en Enfermería (BOUCA número 93 de 27 de mayo de 2009. En dicho acuerdo se recogía  que la asignatura “Farmacología”, materia de formación básica de 9 créditos, sería compartida al 50% por las áreas </w:t>
      </w:r>
      <w:r w:rsidRPr="005E733A">
        <w:rPr>
          <w:rFonts w:cs="Verdana"/>
          <w:bCs/>
          <w:i/>
          <w:sz w:val="22"/>
          <w:szCs w:val="22"/>
        </w:rPr>
        <w:t>Farmacología</w:t>
      </w:r>
      <w:r>
        <w:rPr>
          <w:rFonts w:cs="Verdana"/>
          <w:bCs/>
          <w:sz w:val="22"/>
          <w:szCs w:val="22"/>
        </w:rPr>
        <w:t xml:space="preserve"> (Departamento de Neurociencias) y </w:t>
      </w:r>
      <w:r w:rsidRPr="005E733A">
        <w:rPr>
          <w:rFonts w:cs="Verdana"/>
          <w:bCs/>
          <w:i/>
          <w:sz w:val="22"/>
          <w:szCs w:val="22"/>
        </w:rPr>
        <w:t>Enfermería</w:t>
      </w:r>
      <w:r>
        <w:rPr>
          <w:rFonts w:cs="Verdana"/>
          <w:bCs/>
          <w:sz w:val="22"/>
          <w:szCs w:val="22"/>
        </w:rPr>
        <w:t xml:space="preserve"> (Departamento de Enfermería y Fisioterapia), alternando anualmente el encargo docente para cada una de las áreas y Departamentos</w:t>
      </w:r>
      <w:r w:rsidR="001B3C71">
        <w:rPr>
          <w:rFonts w:cs="Verdana"/>
          <w:bCs/>
          <w:sz w:val="22"/>
          <w:szCs w:val="22"/>
        </w:rPr>
        <w:t xml:space="preserve">, comenzando el  </w:t>
      </w:r>
      <w:r>
        <w:rPr>
          <w:rFonts w:cs="Verdana"/>
          <w:bCs/>
          <w:sz w:val="22"/>
          <w:szCs w:val="22"/>
        </w:rPr>
        <w:t xml:space="preserve">primer año el área de </w:t>
      </w:r>
      <w:r w:rsidRPr="004B16C8">
        <w:rPr>
          <w:rFonts w:cs="Verdana"/>
          <w:bCs/>
          <w:i/>
          <w:sz w:val="22"/>
          <w:szCs w:val="22"/>
        </w:rPr>
        <w:t>Farmacología</w:t>
      </w:r>
      <w:r>
        <w:rPr>
          <w:rFonts w:cs="Verdana"/>
          <w:bCs/>
          <w:sz w:val="22"/>
          <w:szCs w:val="22"/>
        </w:rPr>
        <w:t xml:space="preserve"> en el Campus de Cádiz y el área de </w:t>
      </w:r>
      <w:r w:rsidRPr="004B16C8">
        <w:rPr>
          <w:rFonts w:cs="Verdana"/>
          <w:bCs/>
          <w:i/>
          <w:sz w:val="22"/>
          <w:szCs w:val="22"/>
        </w:rPr>
        <w:t>Enfermería</w:t>
      </w:r>
      <w:r>
        <w:rPr>
          <w:rFonts w:cs="Verdana"/>
          <w:bCs/>
          <w:sz w:val="22"/>
          <w:szCs w:val="22"/>
        </w:rPr>
        <w:t xml:space="preserve"> en el Campus de Jerez, </w:t>
      </w:r>
      <w:r w:rsidR="001B3C71">
        <w:rPr>
          <w:rFonts w:cs="Verdana"/>
          <w:bCs/>
          <w:sz w:val="22"/>
          <w:szCs w:val="22"/>
        </w:rPr>
        <w:t xml:space="preserve"> e invirtiéndose </w:t>
      </w:r>
      <w:r>
        <w:rPr>
          <w:rFonts w:cs="Verdana"/>
          <w:bCs/>
          <w:sz w:val="22"/>
          <w:szCs w:val="22"/>
        </w:rPr>
        <w:t>el encargo cada año.</w:t>
      </w:r>
    </w:p>
    <w:p w:rsidR="0000262F" w:rsidRDefault="0000262F" w:rsidP="001B3C71">
      <w:pPr>
        <w:ind w:left="397"/>
        <w:jc w:val="both"/>
        <w:rPr>
          <w:rFonts w:cs="Verdana"/>
          <w:bCs/>
          <w:sz w:val="22"/>
        </w:rPr>
      </w:pPr>
    </w:p>
    <w:p w:rsidR="0000262F" w:rsidRDefault="0000262F" w:rsidP="001B3C71">
      <w:pPr>
        <w:ind w:left="397"/>
        <w:jc w:val="both"/>
        <w:rPr>
          <w:rFonts w:cs="Verdana"/>
          <w:bCs/>
          <w:sz w:val="22"/>
          <w:szCs w:val="22"/>
        </w:rPr>
      </w:pPr>
      <w:r>
        <w:rPr>
          <w:rFonts w:cs="Verdana"/>
          <w:bCs/>
          <w:sz w:val="22"/>
          <w:szCs w:val="22"/>
        </w:rPr>
        <w:t xml:space="preserve">El Consejo del Departamento de Enfermería y Fisioterapia, en sesión extraordinaria de 21 de marzo de 2017, acordó la modificación de la asignación y encargo docentes de las asignaturas 20806012 y 30807012  “Farmacología”, del Grado en Enfermería en la Facultad de Enfermería y Fisioterapia y su Extensión Docente de Jerez, asignándose exclusivamente al área </w:t>
      </w:r>
      <w:r w:rsidRPr="002A6A93">
        <w:rPr>
          <w:rFonts w:cs="Verdana"/>
          <w:bCs/>
          <w:i/>
          <w:sz w:val="22"/>
          <w:szCs w:val="22"/>
        </w:rPr>
        <w:t>Farmacología</w:t>
      </w:r>
      <w:r>
        <w:rPr>
          <w:rFonts w:cs="Verdana"/>
          <w:bCs/>
          <w:sz w:val="22"/>
          <w:szCs w:val="22"/>
        </w:rPr>
        <w:t xml:space="preserve"> (Departamento de Neurociencias). </w:t>
      </w:r>
    </w:p>
    <w:p w:rsidR="0000262F" w:rsidRDefault="0000262F" w:rsidP="001B3C71">
      <w:pPr>
        <w:ind w:left="397"/>
        <w:jc w:val="both"/>
        <w:rPr>
          <w:rFonts w:cs="Verdana"/>
          <w:bCs/>
          <w:sz w:val="22"/>
          <w:szCs w:val="22"/>
        </w:rPr>
      </w:pPr>
    </w:p>
    <w:p w:rsidR="0000262F" w:rsidRDefault="0000262F" w:rsidP="001B3C71">
      <w:pPr>
        <w:ind w:left="397"/>
        <w:jc w:val="both"/>
        <w:rPr>
          <w:sz w:val="22"/>
        </w:rPr>
      </w:pPr>
      <w:r>
        <w:rPr>
          <w:rFonts w:cs="Verdana"/>
          <w:bCs/>
          <w:sz w:val="22"/>
          <w:szCs w:val="22"/>
        </w:rPr>
        <w:t>El Consejo del Departamento de Neurociencias, en sesión extraordinaria de 27 de marzo de 2017, acordó la mo</w:t>
      </w:r>
      <w:r>
        <w:rPr>
          <w:sz w:val="22"/>
        </w:rPr>
        <w:t xml:space="preserve">dificación de la asignación y encargo docentes de las asignaturas </w:t>
      </w:r>
      <w:r>
        <w:rPr>
          <w:rFonts w:cs="Verdana"/>
          <w:bCs/>
          <w:sz w:val="22"/>
          <w:szCs w:val="22"/>
        </w:rPr>
        <w:t xml:space="preserve">20806012 y 30807012  “Farmacología”, del Grado en Enfermería en la Facultad de Enfermería y Fisioterapia y su Extensión Docente de Jerez, asignándose exclusivamente al área </w:t>
      </w:r>
      <w:r w:rsidRPr="002A6A93">
        <w:rPr>
          <w:rFonts w:cs="Verdana"/>
          <w:bCs/>
          <w:i/>
          <w:sz w:val="22"/>
          <w:szCs w:val="22"/>
        </w:rPr>
        <w:t>Farmacología</w:t>
      </w:r>
      <w:r>
        <w:rPr>
          <w:rFonts w:cs="Verdana"/>
          <w:bCs/>
          <w:sz w:val="22"/>
          <w:szCs w:val="22"/>
        </w:rPr>
        <w:t xml:space="preserve"> (Departamento de Neurociencias).</w:t>
      </w:r>
    </w:p>
    <w:p w:rsidR="0000262F" w:rsidRDefault="0000262F" w:rsidP="001B3C71">
      <w:pPr>
        <w:ind w:left="397"/>
        <w:jc w:val="both"/>
        <w:rPr>
          <w:sz w:val="22"/>
        </w:rPr>
      </w:pPr>
    </w:p>
    <w:p w:rsidR="0000262F" w:rsidRDefault="0000262F" w:rsidP="001B3C71">
      <w:pPr>
        <w:ind w:left="397"/>
        <w:jc w:val="both"/>
        <w:rPr>
          <w:sz w:val="22"/>
        </w:rPr>
      </w:pPr>
      <w:r>
        <w:rPr>
          <w:sz w:val="22"/>
        </w:rPr>
        <w:t>Finalmente, dicha propuesta fue aprobada por Junta de Facultad de Enfermería y Fisioterapia en sesión de 28 de marzo de 2017.</w:t>
      </w:r>
    </w:p>
    <w:p w:rsidR="0000262F" w:rsidRPr="00A307D4" w:rsidRDefault="0000262F" w:rsidP="001B3C71">
      <w:pPr>
        <w:ind w:left="397"/>
        <w:jc w:val="both"/>
        <w:rPr>
          <w:sz w:val="22"/>
          <w:lang w:val="es-ES_tradnl"/>
        </w:rPr>
      </w:pPr>
    </w:p>
    <w:p w:rsidR="0000262F" w:rsidRPr="00A307D4" w:rsidRDefault="0000262F" w:rsidP="001B3C71">
      <w:pPr>
        <w:ind w:left="397"/>
        <w:jc w:val="both"/>
        <w:rPr>
          <w:b/>
          <w:sz w:val="22"/>
        </w:rPr>
      </w:pPr>
      <w:r w:rsidRPr="00A307D4">
        <w:rPr>
          <w:b/>
          <w:sz w:val="22"/>
          <w:szCs w:val="22"/>
        </w:rPr>
        <w:t>2.- FUNDAMENTACIÓN:</w:t>
      </w:r>
    </w:p>
    <w:p w:rsidR="0000262F" w:rsidRDefault="0000262F" w:rsidP="001B3C71">
      <w:pPr>
        <w:ind w:left="397"/>
        <w:jc w:val="both"/>
        <w:rPr>
          <w:sz w:val="22"/>
          <w:lang w:val="es-ES_tradnl"/>
        </w:rPr>
      </w:pPr>
    </w:p>
    <w:p w:rsidR="0000262F" w:rsidRPr="00A307D4" w:rsidRDefault="0000262F" w:rsidP="001B3C71">
      <w:pPr>
        <w:ind w:left="397"/>
        <w:jc w:val="both"/>
        <w:rPr>
          <w:sz w:val="22"/>
          <w:lang w:val="es-ES_tradnl"/>
        </w:rPr>
      </w:pPr>
      <w:r w:rsidRPr="00A307D4">
        <w:rPr>
          <w:sz w:val="22"/>
          <w:szCs w:val="22"/>
          <w:lang w:val="es-ES_tradnl"/>
        </w:rPr>
        <w:t>La presente propuesta se fundamenta en la</w:t>
      </w:r>
      <w:r>
        <w:rPr>
          <w:sz w:val="22"/>
          <w:szCs w:val="22"/>
          <w:lang w:val="es-ES_tradnl"/>
        </w:rPr>
        <w:t xml:space="preserve"> Instrucción UCA/I01VPOA/2009, de 20 de febrero de 2009, por la que se establecen los mecanismos para la definición y asignación de asignaturas de planes de estudios de Grado y determinación de los Encargos Docentes a Departamentos y Áreas de Conocimiento (BOUCA Nº 90, de 25 de febrero de 2009). </w:t>
      </w:r>
      <w:r w:rsidRPr="00A307D4">
        <w:rPr>
          <w:sz w:val="22"/>
          <w:szCs w:val="22"/>
          <w:lang w:val="es-ES_tradnl"/>
        </w:rPr>
        <w:t xml:space="preserve"> </w:t>
      </w:r>
    </w:p>
    <w:p w:rsidR="0000262F" w:rsidRDefault="0000262F" w:rsidP="001B3C71">
      <w:pPr>
        <w:ind w:left="397"/>
        <w:jc w:val="both"/>
        <w:rPr>
          <w:b/>
          <w:sz w:val="22"/>
        </w:rPr>
      </w:pPr>
    </w:p>
    <w:p w:rsidR="0000262F" w:rsidRDefault="0000262F" w:rsidP="001B3C71">
      <w:pPr>
        <w:ind w:left="397"/>
        <w:jc w:val="both"/>
        <w:rPr>
          <w:b/>
          <w:sz w:val="22"/>
        </w:rPr>
      </w:pPr>
    </w:p>
    <w:p w:rsidR="0000262F" w:rsidRDefault="0000262F" w:rsidP="001B3C71">
      <w:pPr>
        <w:ind w:left="397"/>
        <w:jc w:val="both"/>
        <w:rPr>
          <w:b/>
          <w:sz w:val="22"/>
        </w:rPr>
      </w:pPr>
    </w:p>
    <w:p w:rsidR="0000262F" w:rsidRDefault="0000262F" w:rsidP="001B3C71">
      <w:pPr>
        <w:ind w:left="397"/>
        <w:jc w:val="both"/>
        <w:rPr>
          <w:b/>
          <w:sz w:val="22"/>
          <w:szCs w:val="22"/>
        </w:rPr>
      </w:pPr>
    </w:p>
    <w:p w:rsidR="0000262F" w:rsidRPr="00A307D4" w:rsidRDefault="0000262F" w:rsidP="001B3C71">
      <w:pPr>
        <w:ind w:left="397"/>
        <w:jc w:val="both"/>
        <w:rPr>
          <w:b/>
          <w:sz w:val="22"/>
        </w:rPr>
      </w:pPr>
      <w:r w:rsidRPr="00A307D4">
        <w:rPr>
          <w:b/>
          <w:sz w:val="22"/>
          <w:szCs w:val="22"/>
        </w:rPr>
        <w:t>3.- ACUERDO:</w:t>
      </w:r>
    </w:p>
    <w:p w:rsidR="0000262F" w:rsidRDefault="0000262F" w:rsidP="001B3C71">
      <w:pPr>
        <w:ind w:left="397"/>
        <w:jc w:val="both"/>
        <w:rPr>
          <w:sz w:val="22"/>
        </w:rPr>
      </w:pPr>
    </w:p>
    <w:p w:rsidR="0000262F" w:rsidRDefault="0000262F" w:rsidP="001B3C71">
      <w:pPr>
        <w:widowControl/>
        <w:autoSpaceDE w:val="0"/>
        <w:autoSpaceDN w:val="0"/>
        <w:adjustRightInd w:val="0"/>
        <w:ind w:left="397"/>
        <w:jc w:val="both"/>
        <w:rPr>
          <w:rFonts w:cs="Verdana"/>
          <w:sz w:val="22"/>
          <w:szCs w:val="22"/>
        </w:rPr>
      </w:pPr>
      <w:r>
        <w:rPr>
          <w:rFonts w:cs="Verdana"/>
          <w:sz w:val="22"/>
          <w:szCs w:val="22"/>
        </w:rPr>
        <w:t xml:space="preserve">Por todo ello, se propone la asignación y encargo docentes de las asignaturas  </w:t>
      </w:r>
      <w:r w:rsidR="001B3C71">
        <w:rPr>
          <w:rFonts w:cs="Verdana"/>
          <w:sz w:val="22"/>
          <w:szCs w:val="22"/>
        </w:rPr>
        <w:t>20806012 y 30807012 -</w:t>
      </w:r>
      <w:r>
        <w:rPr>
          <w:rFonts w:cs="Verdana"/>
          <w:sz w:val="22"/>
          <w:szCs w:val="22"/>
        </w:rPr>
        <w:t xml:space="preserve">“Farmacología”, del Grado en Enfermería, exclusivamente al área </w:t>
      </w:r>
      <w:r w:rsidRPr="009C5E47">
        <w:rPr>
          <w:rFonts w:cs="Verdana"/>
          <w:i/>
          <w:sz w:val="22"/>
          <w:szCs w:val="22"/>
        </w:rPr>
        <w:t>Farmacología</w:t>
      </w:r>
      <w:r>
        <w:rPr>
          <w:rFonts w:cs="Verdana"/>
          <w:sz w:val="22"/>
          <w:szCs w:val="22"/>
        </w:rPr>
        <w:t xml:space="preserve"> (Departamento de Neurociencias). </w:t>
      </w:r>
    </w:p>
    <w:p w:rsidR="0000262F" w:rsidRDefault="0000262F" w:rsidP="001B3C71">
      <w:pPr>
        <w:ind w:left="397"/>
        <w:jc w:val="both"/>
        <w:rPr>
          <w:rFonts w:cs="Verdana"/>
          <w:bCs/>
          <w:sz w:val="22"/>
        </w:rPr>
      </w:pPr>
    </w:p>
    <w:p w:rsidR="0000262F" w:rsidRDefault="0000262F" w:rsidP="001B3C71">
      <w:pPr>
        <w:tabs>
          <w:tab w:val="left" w:pos="4500"/>
          <w:tab w:val="left" w:pos="7380"/>
        </w:tabs>
        <w:ind w:left="397"/>
        <w:jc w:val="both"/>
        <w:rPr>
          <w:sz w:val="22"/>
        </w:rPr>
      </w:pPr>
    </w:p>
    <w:p w:rsidR="0000262F" w:rsidRPr="00A307D4" w:rsidRDefault="0000262F" w:rsidP="001B3C71">
      <w:pPr>
        <w:tabs>
          <w:tab w:val="left" w:pos="4500"/>
          <w:tab w:val="left" w:pos="7380"/>
        </w:tabs>
        <w:ind w:left="397"/>
        <w:jc w:val="both"/>
        <w:rPr>
          <w:sz w:val="22"/>
        </w:rPr>
      </w:pPr>
    </w:p>
    <w:p w:rsidR="0000262F" w:rsidRPr="00A307D4" w:rsidRDefault="0000262F" w:rsidP="001B3C71">
      <w:pPr>
        <w:tabs>
          <w:tab w:val="left" w:pos="4500"/>
          <w:tab w:val="left" w:pos="7380"/>
        </w:tabs>
        <w:ind w:left="397"/>
        <w:jc w:val="both"/>
        <w:rPr>
          <w:sz w:val="22"/>
        </w:rPr>
      </w:pPr>
      <w:r w:rsidRPr="00A307D4">
        <w:rPr>
          <w:sz w:val="22"/>
          <w:szCs w:val="22"/>
        </w:rPr>
        <w:t xml:space="preserve">Cádiz, </w:t>
      </w:r>
      <w:r>
        <w:rPr>
          <w:sz w:val="22"/>
          <w:szCs w:val="22"/>
        </w:rPr>
        <w:t>12 de julio</w:t>
      </w:r>
      <w:r w:rsidRPr="00A307D4">
        <w:rPr>
          <w:sz w:val="22"/>
          <w:szCs w:val="22"/>
        </w:rPr>
        <w:t xml:space="preserve"> de 201</w:t>
      </w:r>
      <w:r>
        <w:rPr>
          <w:sz w:val="22"/>
          <w:szCs w:val="22"/>
        </w:rPr>
        <w:t>7</w:t>
      </w:r>
    </w:p>
    <w:p w:rsidR="0000262F" w:rsidRPr="00A307D4" w:rsidRDefault="0000262F" w:rsidP="001B3C71">
      <w:pPr>
        <w:tabs>
          <w:tab w:val="left" w:pos="4500"/>
          <w:tab w:val="left" w:pos="7380"/>
        </w:tabs>
        <w:ind w:left="397"/>
        <w:jc w:val="both"/>
        <w:rPr>
          <w:sz w:val="22"/>
        </w:rPr>
      </w:pPr>
    </w:p>
    <w:p w:rsidR="0000262F" w:rsidRDefault="0000262F" w:rsidP="001B3C71">
      <w:pPr>
        <w:tabs>
          <w:tab w:val="left" w:pos="4500"/>
          <w:tab w:val="left" w:pos="7380"/>
        </w:tabs>
        <w:ind w:left="397"/>
        <w:jc w:val="both"/>
        <w:rPr>
          <w:sz w:val="22"/>
        </w:rPr>
      </w:pPr>
    </w:p>
    <w:p w:rsidR="0000262F" w:rsidRDefault="0000262F" w:rsidP="001B3C71">
      <w:pPr>
        <w:tabs>
          <w:tab w:val="left" w:pos="4500"/>
          <w:tab w:val="left" w:pos="7380"/>
        </w:tabs>
        <w:ind w:left="397"/>
        <w:jc w:val="both"/>
        <w:rPr>
          <w:sz w:val="22"/>
        </w:rPr>
      </w:pPr>
    </w:p>
    <w:p w:rsidR="0000262F" w:rsidRDefault="0000262F" w:rsidP="001B3C71">
      <w:pPr>
        <w:tabs>
          <w:tab w:val="left" w:pos="4500"/>
          <w:tab w:val="left" w:pos="7380"/>
        </w:tabs>
        <w:ind w:left="397"/>
        <w:jc w:val="both"/>
        <w:rPr>
          <w:sz w:val="22"/>
        </w:rPr>
      </w:pPr>
    </w:p>
    <w:p w:rsidR="0000262F" w:rsidRDefault="0000262F" w:rsidP="001B3C71">
      <w:pPr>
        <w:tabs>
          <w:tab w:val="left" w:pos="4500"/>
          <w:tab w:val="left" w:pos="7380"/>
        </w:tabs>
        <w:ind w:left="397"/>
        <w:jc w:val="both"/>
        <w:rPr>
          <w:sz w:val="22"/>
        </w:rPr>
      </w:pPr>
    </w:p>
    <w:p w:rsidR="0000262F" w:rsidRDefault="0000262F" w:rsidP="001B3C71">
      <w:pPr>
        <w:tabs>
          <w:tab w:val="left" w:pos="4500"/>
          <w:tab w:val="left" w:pos="7380"/>
        </w:tabs>
        <w:ind w:left="397"/>
        <w:jc w:val="both"/>
        <w:rPr>
          <w:sz w:val="22"/>
          <w:szCs w:val="22"/>
        </w:rPr>
      </w:pPr>
      <w:r w:rsidRPr="00A307D4">
        <w:rPr>
          <w:sz w:val="22"/>
          <w:szCs w:val="22"/>
        </w:rPr>
        <w:t>Carlos Moreno Aguilar</w:t>
      </w:r>
    </w:p>
    <w:p w:rsidR="0000262F" w:rsidRDefault="0000262F" w:rsidP="001B3C71">
      <w:pPr>
        <w:tabs>
          <w:tab w:val="left" w:pos="4500"/>
          <w:tab w:val="left" w:pos="7380"/>
        </w:tabs>
        <w:ind w:left="397"/>
        <w:jc w:val="both"/>
        <w:rPr>
          <w:sz w:val="22"/>
          <w:szCs w:val="22"/>
        </w:rPr>
      </w:pPr>
      <w:r>
        <w:rPr>
          <w:sz w:val="22"/>
          <w:szCs w:val="22"/>
        </w:rPr>
        <w:t>Vicerrector de Ordenación Académica y Personal</w:t>
      </w:r>
    </w:p>
    <w:p w:rsidR="0000262F" w:rsidRDefault="0000262F" w:rsidP="001B3C71">
      <w:pPr>
        <w:tabs>
          <w:tab w:val="left" w:pos="4500"/>
          <w:tab w:val="left" w:pos="7380"/>
        </w:tabs>
        <w:ind w:left="397"/>
        <w:jc w:val="both"/>
        <w:rPr>
          <w:sz w:val="22"/>
          <w:szCs w:val="22"/>
        </w:rPr>
      </w:pPr>
    </w:p>
    <w:sectPr w:rsidR="0000262F" w:rsidSect="0000262F">
      <w:headerReference w:type="even" r:id="rId9"/>
      <w:headerReference w:type="default" r:id="rId10"/>
      <w:headerReference w:type="first" r:id="rId11"/>
      <w:pgSz w:w="11906" w:h="16838" w:code="9"/>
      <w:pgMar w:top="737" w:right="1134" w:bottom="73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3C3" w:rsidRDefault="00E653C3">
      <w:r>
        <w:separator/>
      </w:r>
    </w:p>
  </w:endnote>
  <w:endnote w:type="continuationSeparator" w:id="0">
    <w:p w:rsidR="00E653C3" w:rsidRDefault="00E6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3C3" w:rsidRDefault="00E653C3">
      <w:r>
        <w:separator/>
      </w:r>
    </w:p>
  </w:footnote>
  <w:footnote w:type="continuationSeparator" w:id="0">
    <w:p w:rsidR="00E653C3" w:rsidRDefault="00E65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EF" w:rsidRDefault="00B53299" w:rsidP="00AB1482">
    <w:pPr>
      <w:pStyle w:val="Textoencabezado"/>
      <w:spacing w:line="192" w:lineRule="auto"/>
      <w:ind w:left="-70"/>
    </w:pPr>
    <w:r>
      <w:rPr>
        <w:noProof/>
      </w:rPr>
      <w:drawing>
        <wp:inline distT="0" distB="0" distL="0" distR="0" wp14:anchorId="5E65D601" wp14:editId="03CFD476">
          <wp:extent cx="2057400" cy="942975"/>
          <wp:effectExtent l="0" t="0" r="0" b="9525"/>
          <wp:docPr id="41" name="Imagen 3"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2975"/>
                  </a:xfrm>
                  <a:prstGeom prst="rect">
                    <a:avLst/>
                  </a:prstGeom>
                  <a:noFill/>
                  <a:ln>
                    <a:noFill/>
                  </a:ln>
                </pic:spPr>
              </pic:pic>
            </a:graphicData>
          </a:graphic>
        </wp:inline>
      </w:drawing>
    </w:r>
  </w:p>
  <w:p w:rsidR="004570EF" w:rsidRDefault="004570E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4570EF">
      <w:trPr>
        <w:cantSplit/>
        <w:trHeight w:val="1545"/>
      </w:trPr>
      <w:tc>
        <w:tcPr>
          <w:tcW w:w="3947" w:type="dxa"/>
          <w:tcBorders>
            <w:bottom w:val="nil"/>
          </w:tcBorders>
        </w:tcPr>
        <w:p w:rsidR="004570EF" w:rsidRDefault="00B53299" w:rsidP="00AA6615">
          <w:pPr>
            <w:tabs>
              <w:tab w:val="left" w:pos="1730"/>
              <w:tab w:val="left" w:pos="4500"/>
              <w:tab w:val="left" w:pos="7380"/>
            </w:tabs>
          </w:pPr>
          <w:r>
            <w:rPr>
              <w:noProof/>
            </w:rPr>
            <w:drawing>
              <wp:inline distT="0" distB="0" distL="0" distR="0" wp14:anchorId="57165C27" wp14:editId="0FDA213B">
                <wp:extent cx="2057400" cy="942975"/>
                <wp:effectExtent l="0" t="0" r="0" b="9525"/>
                <wp:docPr id="42"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2975"/>
                        </a:xfrm>
                        <a:prstGeom prst="rect">
                          <a:avLst/>
                        </a:prstGeom>
                        <a:noFill/>
                        <a:ln>
                          <a:noFill/>
                        </a:ln>
                      </pic:spPr>
                    </pic:pic>
                  </a:graphicData>
                </a:graphic>
              </wp:inline>
            </w:drawing>
          </w:r>
        </w:p>
      </w:tc>
      <w:tc>
        <w:tcPr>
          <w:tcW w:w="193" w:type="dxa"/>
          <w:tcBorders>
            <w:bottom w:val="nil"/>
          </w:tcBorders>
        </w:tcPr>
        <w:p w:rsidR="004570EF" w:rsidRDefault="004570EF" w:rsidP="00AA6615">
          <w:pPr>
            <w:tabs>
              <w:tab w:val="left" w:pos="4500"/>
              <w:tab w:val="left" w:pos="7380"/>
            </w:tabs>
            <w:jc w:val="right"/>
          </w:pPr>
        </w:p>
      </w:tc>
      <w:tc>
        <w:tcPr>
          <w:tcW w:w="3047" w:type="dxa"/>
          <w:tcBorders>
            <w:bottom w:val="nil"/>
          </w:tcBorders>
        </w:tcPr>
        <w:p w:rsidR="004570EF" w:rsidRDefault="004570EF" w:rsidP="00AA6615">
          <w:pPr>
            <w:pStyle w:val="Titulo1"/>
          </w:pPr>
        </w:p>
      </w:tc>
      <w:tc>
        <w:tcPr>
          <w:tcW w:w="193" w:type="dxa"/>
          <w:tcBorders>
            <w:bottom w:val="nil"/>
          </w:tcBorders>
        </w:tcPr>
        <w:p w:rsidR="004570EF" w:rsidRDefault="004570EF" w:rsidP="00AA6615">
          <w:pPr>
            <w:tabs>
              <w:tab w:val="left" w:pos="4500"/>
              <w:tab w:val="left" w:pos="7380"/>
            </w:tabs>
          </w:pPr>
        </w:p>
      </w:tc>
      <w:tc>
        <w:tcPr>
          <w:tcW w:w="3278" w:type="dxa"/>
          <w:tcBorders>
            <w:bottom w:val="nil"/>
          </w:tcBorders>
        </w:tcPr>
        <w:p w:rsidR="004570EF" w:rsidRDefault="004570EF" w:rsidP="00AA6615">
          <w:pPr>
            <w:pStyle w:val="Textoencabezado"/>
          </w:pPr>
        </w:p>
      </w:tc>
    </w:tr>
  </w:tbl>
  <w:p w:rsidR="004570EF" w:rsidRPr="00093DE7" w:rsidRDefault="004570EF"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2" w:type="dxa"/>
      <w:tblCellMar>
        <w:left w:w="70" w:type="dxa"/>
        <w:right w:w="70" w:type="dxa"/>
      </w:tblCellMar>
      <w:tblLook w:val="0000" w:firstRow="0" w:lastRow="0" w:firstColumn="0" w:lastColumn="0" w:noHBand="0" w:noVBand="0"/>
    </w:tblPr>
    <w:tblGrid>
      <w:gridCol w:w="3945"/>
      <w:gridCol w:w="201"/>
      <w:gridCol w:w="5696"/>
    </w:tblGrid>
    <w:tr w:rsidR="004570EF" w:rsidRPr="00415DBE" w:rsidTr="0000262F">
      <w:trPr>
        <w:cantSplit/>
        <w:trHeight w:val="1545"/>
      </w:trPr>
      <w:tc>
        <w:tcPr>
          <w:tcW w:w="3945" w:type="dxa"/>
        </w:tcPr>
        <w:p w:rsidR="004570EF" w:rsidRPr="00415DBE" w:rsidRDefault="00B53299" w:rsidP="00415DBE">
          <w:pPr>
            <w:tabs>
              <w:tab w:val="left" w:pos="1730"/>
              <w:tab w:val="left" w:pos="4500"/>
              <w:tab w:val="left" w:pos="7380"/>
            </w:tabs>
          </w:pPr>
          <w:r>
            <w:rPr>
              <w:noProof/>
            </w:rPr>
            <w:drawing>
              <wp:inline distT="0" distB="0" distL="0" distR="0" wp14:anchorId="3E399ED6" wp14:editId="438F5FBE">
                <wp:extent cx="2057400" cy="942975"/>
                <wp:effectExtent l="0" t="0" r="0" b="9525"/>
                <wp:docPr id="43" name="Imagen 1"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2975"/>
                        </a:xfrm>
                        <a:prstGeom prst="rect">
                          <a:avLst/>
                        </a:prstGeom>
                        <a:noFill/>
                        <a:ln>
                          <a:noFill/>
                        </a:ln>
                      </pic:spPr>
                    </pic:pic>
                  </a:graphicData>
                </a:graphic>
              </wp:inline>
            </w:drawing>
          </w:r>
        </w:p>
      </w:tc>
      <w:tc>
        <w:tcPr>
          <w:tcW w:w="201" w:type="dxa"/>
        </w:tcPr>
        <w:p w:rsidR="004570EF" w:rsidRPr="00415DBE" w:rsidRDefault="00B53299" w:rsidP="00415DBE">
          <w:pPr>
            <w:tabs>
              <w:tab w:val="left" w:pos="4500"/>
              <w:tab w:val="left" w:pos="7380"/>
            </w:tabs>
            <w:jc w:val="right"/>
          </w:pPr>
          <w:r>
            <w:rPr>
              <w:noProof/>
            </w:rPr>
            <w:drawing>
              <wp:inline distT="0" distB="0" distL="0" distR="0" wp14:anchorId="6E58DA5B" wp14:editId="61BDC932">
                <wp:extent cx="38100" cy="942975"/>
                <wp:effectExtent l="0" t="0" r="0" b="9525"/>
                <wp:docPr id="44" name="Imagen 2"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2975"/>
                        </a:xfrm>
                        <a:prstGeom prst="rect">
                          <a:avLst/>
                        </a:prstGeom>
                        <a:noFill/>
                        <a:ln>
                          <a:noFill/>
                        </a:ln>
                      </pic:spPr>
                    </pic:pic>
                  </a:graphicData>
                </a:graphic>
              </wp:inline>
            </w:drawing>
          </w:r>
        </w:p>
      </w:tc>
      <w:tc>
        <w:tcPr>
          <w:tcW w:w="5696" w:type="dxa"/>
        </w:tcPr>
        <w:p w:rsidR="004570EF" w:rsidRPr="00415DBE" w:rsidRDefault="004570EF" w:rsidP="00415DBE">
          <w:pPr>
            <w:keepNext/>
            <w:spacing w:line="240" w:lineRule="auto"/>
            <w:outlineLvl w:val="0"/>
            <w:rPr>
              <w:rFonts w:cs="Arial"/>
              <w:bCs/>
              <w:color w:val="339966"/>
              <w:kern w:val="32"/>
              <w:sz w:val="18"/>
              <w:szCs w:val="18"/>
            </w:rPr>
          </w:pPr>
        </w:p>
        <w:p w:rsidR="004570EF" w:rsidRPr="00415DBE" w:rsidRDefault="004570EF" w:rsidP="00415DBE">
          <w:pPr>
            <w:keepNext/>
            <w:spacing w:line="240" w:lineRule="auto"/>
            <w:outlineLvl w:val="0"/>
            <w:rPr>
              <w:rFonts w:cs="Arial"/>
              <w:b/>
              <w:bCs/>
              <w:color w:val="278489"/>
              <w:kern w:val="32"/>
              <w:sz w:val="16"/>
              <w:szCs w:val="16"/>
            </w:rPr>
          </w:pPr>
          <w:r w:rsidRPr="00415DBE">
            <w:rPr>
              <w:rFonts w:cs="Arial"/>
              <w:b/>
              <w:bCs/>
              <w:color w:val="278489"/>
              <w:kern w:val="32"/>
              <w:sz w:val="16"/>
              <w:szCs w:val="16"/>
            </w:rPr>
            <w:t xml:space="preserve">Vicerrectorado de </w:t>
          </w:r>
          <w:r>
            <w:rPr>
              <w:rFonts w:cs="Arial"/>
              <w:b/>
              <w:bCs/>
              <w:color w:val="278489"/>
              <w:kern w:val="32"/>
              <w:sz w:val="16"/>
              <w:szCs w:val="16"/>
            </w:rPr>
            <w:t>Ordenación Académica y Personal</w:t>
          </w:r>
        </w:p>
        <w:p w:rsidR="004570EF" w:rsidRPr="00415DBE" w:rsidRDefault="004570EF" w:rsidP="00867FDC">
          <w:pPr>
            <w:keepNext/>
            <w:spacing w:line="240" w:lineRule="auto"/>
            <w:outlineLvl w:val="0"/>
            <w:rPr>
              <w:rFonts w:ascii="Arial" w:hAnsi="Arial" w:cs="Arial"/>
              <w:b/>
              <w:bCs/>
              <w:kern w:val="32"/>
              <w:sz w:val="16"/>
              <w:szCs w:val="16"/>
              <w:lang w:val="de-DE"/>
            </w:rPr>
          </w:pPr>
        </w:p>
      </w:tc>
    </w:tr>
  </w:tbl>
  <w:p w:rsidR="004570EF" w:rsidRPr="00415DBE" w:rsidRDefault="004570EF" w:rsidP="00415DB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51DAD"/>
    <w:multiLevelType w:val="hybridMultilevel"/>
    <w:tmpl w:val="B6F8C8DE"/>
    <w:lvl w:ilvl="0" w:tplc="0C0A0015">
      <w:start w:val="1"/>
      <w:numFmt w:val="upperLetter"/>
      <w:lvlText w:val="%1."/>
      <w:lvlJc w:val="left"/>
      <w:pPr>
        <w:tabs>
          <w:tab w:val="num" w:pos="720"/>
        </w:tabs>
        <w:ind w:left="720" w:hanging="360"/>
      </w:pPr>
      <w:rPr>
        <w:rFonts w:cs="Times New Roman"/>
      </w:rPr>
    </w:lvl>
    <w:lvl w:ilvl="1" w:tplc="6826E88C">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3">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6">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7">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8">
    <w:nsid w:val="22526A8C"/>
    <w:multiLevelType w:val="hybridMultilevel"/>
    <w:tmpl w:val="02AE3DE8"/>
    <w:lvl w:ilvl="0" w:tplc="0C0A000F">
      <w:start w:val="3"/>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1">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2">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3">
    <w:nsid w:val="4A6C686B"/>
    <w:multiLevelType w:val="hybridMultilevel"/>
    <w:tmpl w:val="5840038A"/>
    <w:lvl w:ilvl="0" w:tplc="0DA4BE36">
      <w:start w:val="1"/>
      <w:numFmt w:val="decimal"/>
      <w:lvlText w:val="%1."/>
      <w:lvlJc w:val="left"/>
      <w:pPr>
        <w:ind w:left="720" w:hanging="360"/>
      </w:pPr>
      <w:rPr>
        <w:rFonts w:cs="Times New Roman" w:hint="default"/>
        <w:b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6">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7">
    <w:nsid w:val="55E4485F"/>
    <w:multiLevelType w:val="hybridMultilevel"/>
    <w:tmpl w:val="F620E952"/>
    <w:lvl w:ilvl="0" w:tplc="3BF469FA">
      <w:start w:val="4"/>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B43621B"/>
    <w:multiLevelType w:val="hybridMultilevel"/>
    <w:tmpl w:val="A8A43F80"/>
    <w:lvl w:ilvl="0" w:tplc="5AE0C546">
      <w:start w:val="1"/>
      <w:numFmt w:val="upp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FF17184"/>
    <w:multiLevelType w:val="hybridMultilevel"/>
    <w:tmpl w:val="8006041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5">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7">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8">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9">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
  </w:num>
  <w:num w:numId="3">
    <w:abstractNumId w:val="24"/>
  </w:num>
  <w:num w:numId="4">
    <w:abstractNumId w:val="16"/>
  </w:num>
  <w:num w:numId="5">
    <w:abstractNumId w:val="5"/>
  </w:num>
  <w:num w:numId="6">
    <w:abstractNumId w:val="29"/>
  </w:num>
  <w:num w:numId="7">
    <w:abstractNumId w:val="28"/>
  </w:num>
  <w:num w:numId="8">
    <w:abstractNumId w:val="10"/>
  </w:num>
  <w:num w:numId="9">
    <w:abstractNumId w:val="2"/>
  </w:num>
  <w:num w:numId="10">
    <w:abstractNumId w:val="4"/>
  </w:num>
  <w:num w:numId="11">
    <w:abstractNumId w:val="12"/>
  </w:num>
  <w:num w:numId="12">
    <w:abstractNumId w:val="7"/>
  </w:num>
  <w:num w:numId="13">
    <w:abstractNumId w:val="18"/>
  </w:num>
  <w:num w:numId="14">
    <w:abstractNumId w:val="6"/>
  </w:num>
  <w:num w:numId="15">
    <w:abstractNumId w:val="27"/>
  </w:num>
  <w:num w:numId="16">
    <w:abstractNumId w:val="25"/>
  </w:num>
  <w:num w:numId="17">
    <w:abstractNumId w:val="20"/>
  </w:num>
  <w:num w:numId="18">
    <w:abstractNumId w:val="26"/>
  </w:num>
  <w:num w:numId="19">
    <w:abstractNumId w:val="3"/>
  </w:num>
  <w:num w:numId="20">
    <w:abstractNumId w:val="23"/>
  </w:num>
  <w:num w:numId="21">
    <w:abstractNumId w:val="22"/>
  </w:num>
  <w:num w:numId="22">
    <w:abstractNumId w:val="11"/>
  </w:num>
  <w:num w:numId="23">
    <w:abstractNumId w:val="14"/>
  </w:num>
  <w:num w:numId="24">
    <w:abstractNumId w:val="9"/>
  </w:num>
  <w:num w:numId="25">
    <w:abstractNumId w:val="19"/>
  </w:num>
  <w:num w:numId="26">
    <w:abstractNumId w:val="0"/>
  </w:num>
  <w:num w:numId="27">
    <w:abstractNumId w:val="17"/>
  </w:num>
  <w:num w:numId="28">
    <w:abstractNumId w:val="21"/>
  </w:num>
  <w:num w:numId="29">
    <w:abstractNumId w:val="1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62F"/>
    <w:rsid w:val="0000453C"/>
    <w:rsid w:val="0000549C"/>
    <w:rsid w:val="00016073"/>
    <w:rsid w:val="0002062F"/>
    <w:rsid w:val="000206F9"/>
    <w:rsid w:val="00042507"/>
    <w:rsid w:val="0004570A"/>
    <w:rsid w:val="00055696"/>
    <w:rsid w:val="00060519"/>
    <w:rsid w:val="00060DEA"/>
    <w:rsid w:val="00067E39"/>
    <w:rsid w:val="00073197"/>
    <w:rsid w:val="00080B3B"/>
    <w:rsid w:val="000826C4"/>
    <w:rsid w:val="00093DE7"/>
    <w:rsid w:val="000960E0"/>
    <w:rsid w:val="000A3512"/>
    <w:rsid w:val="000B32E5"/>
    <w:rsid w:val="000B3E7D"/>
    <w:rsid w:val="000B5592"/>
    <w:rsid w:val="000E648E"/>
    <w:rsid w:val="000F520A"/>
    <w:rsid w:val="00105C6F"/>
    <w:rsid w:val="001068D6"/>
    <w:rsid w:val="0011052F"/>
    <w:rsid w:val="00113167"/>
    <w:rsid w:val="00115826"/>
    <w:rsid w:val="00116BFC"/>
    <w:rsid w:val="001204F2"/>
    <w:rsid w:val="00133125"/>
    <w:rsid w:val="001347D8"/>
    <w:rsid w:val="00136B05"/>
    <w:rsid w:val="00140D86"/>
    <w:rsid w:val="00157640"/>
    <w:rsid w:val="00172973"/>
    <w:rsid w:val="00180756"/>
    <w:rsid w:val="001844D1"/>
    <w:rsid w:val="0018688E"/>
    <w:rsid w:val="0019262C"/>
    <w:rsid w:val="001B3C71"/>
    <w:rsid w:val="001C0A7E"/>
    <w:rsid w:val="001C1F9D"/>
    <w:rsid w:val="001C2164"/>
    <w:rsid w:val="001C27B9"/>
    <w:rsid w:val="001D02F1"/>
    <w:rsid w:val="001D35AB"/>
    <w:rsid w:val="001D36E2"/>
    <w:rsid w:val="001D5114"/>
    <w:rsid w:val="001E5217"/>
    <w:rsid w:val="001F157C"/>
    <w:rsid w:val="001F37CA"/>
    <w:rsid w:val="001F7700"/>
    <w:rsid w:val="00212726"/>
    <w:rsid w:val="00212F03"/>
    <w:rsid w:val="00220A9C"/>
    <w:rsid w:val="00222B9B"/>
    <w:rsid w:val="00227A66"/>
    <w:rsid w:val="0025272E"/>
    <w:rsid w:val="00262A75"/>
    <w:rsid w:val="00265A38"/>
    <w:rsid w:val="00271995"/>
    <w:rsid w:val="002735AB"/>
    <w:rsid w:val="002A6083"/>
    <w:rsid w:val="002A6A93"/>
    <w:rsid w:val="002B1522"/>
    <w:rsid w:val="002B2B9E"/>
    <w:rsid w:val="002C2720"/>
    <w:rsid w:val="002C3C04"/>
    <w:rsid w:val="002C6248"/>
    <w:rsid w:val="002D689E"/>
    <w:rsid w:val="002F5B59"/>
    <w:rsid w:val="002F7C59"/>
    <w:rsid w:val="00301CF0"/>
    <w:rsid w:val="003038D5"/>
    <w:rsid w:val="003140AE"/>
    <w:rsid w:val="003226A2"/>
    <w:rsid w:val="00324713"/>
    <w:rsid w:val="00345D34"/>
    <w:rsid w:val="003519E6"/>
    <w:rsid w:val="0037018D"/>
    <w:rsid w:val="003716CD"/>
    <w:rsid w:val="003877A7"/>
    <w:rsid w:val="003920E1"/>
    <w:rsid w:val="00394BCB"/>
    <w:rsid w:val="003A1145"/>
    <w:rsid w:val="003A2C6F"/>
    <w:rsid w:val="003A2DFA"/>
    <w:rsid w:val="003A3CFD"/>
    <w:rsid w:val="003A6CB3"/>
    <w:rsid w:val="003A7A31"/>
    <w:rsid w:val="003B1D55"/>
    <w:rsid w:val="003B479E"/>
    <w:rsid w:val="003B754D"/>
    <w:rsid w:val="003C1854"/>
    <w:rsid w:val="003C1E09"/>
    <w:rsid w:val="003C6EB1"/>
    <w:rsid w:val="003C73A5"/>
    <w:rsid w:val="003D015A"/>
    <w:rsid w:val="003E2FED"/>
    <w:rsid w:val="003E387E"/>
    <w:rsid w:val="003F7500"/>
    <w:rsid w:val="004028A4"/>
    <w:rsid w:val="0041224C"/>
    <w:rsid w:val="00415425"/>
    <w:rsid w:val="00415B0A"/>
    <w:rsid w:val="00415DBE"/>
    <w:rsid w:val="00425F92"/>
    <w:rsid w:val="00427C9E"/>
    <w:rsid w:val="0043412C"/>
    <w:rsid w:val="0044330F"/>
    <w:rsid w:val="00443A75"/>
    <w:rsid w:val="00450346"/>
    <w:rsid w:val="004548EE"/>
    <w:rsid w:val="00455111"/>
    <w:rsid w:val="004570EF"/>
    <w:rsid w:val="0046155A"/>
    <w:rsid w:val="00464C09"/>
    <w:rsid w:val="00466D17"/>
    <w:rsid w:val="00476249"/>
    <w:rsid w:val="00482405"/>
    <w:rsid w:val="00482F48"/>
    <w:rsid w:val="00484F5F"/>
    <w:rsid w:val="00486AA8"/>
    <w:rsid w:val="00492483"/>
    <w:rsid w:val="004A0272"/>
    <w:rsid w:val="004A13B5"/>
    <w:rsid w:val="004A1886"/>
    <w:rsid w:val="004A4B77"/>
    <w:rsid w:val="004B1659"/>
    <w:rsid w:val="004B16C8"/>
    <w:rsid w:val="004B2977"/>
    <w:rsid w:val="004C7EE6"/>
    <w:rsid w:val="004F52B8"/>
    <w:rsid w:val="005008B6"/>
    <w:rsid w:val="00501D26"/>
    <w:rsid w:val="00502019"/>
    <w:rsid w:val="005206FC"/>
    <w:rsid w:val="00524C03"/>
    <w:rsid w:val="00527AE4"/>
    <w:rsid w:val="0054098C"/>
    <w:rsid w:val="00546B62"/>
    <w:rsid w:val="00572F1A"/>
    <w:rsid w:val="00573B40"/>
    <w:rsid w:val="00585E3C"/>
    <w:rsid w:val="0059536F"/>
    <w:rsid w:val="00595DF3"/>
    <w:rsid w:val="005964D8"/>
    <w:rsid w:val="005A5F1C"/>
    <w:rsid w:val="005A6053"/>
    <w:rsid w:val="005A7562"/>
    <w:rsid w:val="005B2406"/>
    <w:rsid w:val="005B750E"/>
    <w:rsid w:val="005C4E08"/>
    <w:rsid w:val="005E733A"/>
    <w:rsid w:val="005E780F"/>
    <w:rsid w:val="005F128B"/>
    <w:rsid w:val="005F45F4"/>
    <w:rsid w:val="005F5893"/>
    <w:rsid w:val="00606F0C"/>
    <w:rsid w:val="00622881"/>
    <w:rsid w:val="00624B0E"/>
    <w:rsid w:val="00632EDA"/>
    <w:rsid w:val="006426E7"/>
    <w:rsid w:val="00645892"/>
    <w:rsid w:val="00657453"/>
    <w:rsid w:val="00671FE3"/>
    <w:rsid w:val="00682F4E"/>
    <w:rsid w:val="00686990"/>
    <w:rsid w:val="00691732"/>
    <w:rsid w:val="006927D4"/>
    <w:rsid w:val="00692FEA"/>
    <w:rsid w:val="006A1914"/>
    <w:rsid w:val="006B0AE2"/>
    <w:rsid w:val="006C241D"/>
    <w:rsid w:val="006C3540"/>
    <w:rsid w:val="006D72A3"/>
    <w:rsid w:val="006E0D59"/>
    <w:rsid w:val="006F041E"/>
    <w:rsid w:val="006F48EA"/>
    <w:rsid w:val="006F5BD6"/>
    <w:rsid w:val="00700F9F"/>
    <w:rsid w:val="0071195D"/>
    <w:rsid w:val="0072543D"/>
    <w:rsid w:val="00731A7A"/>
    <w:rsid w:val="00742CF7"/>
    <w:rsid w:val="00755D3B"/>
    <w:rsid w:val="00761A40"/>
    <w:rsid w:val="0076682F"/>
    <w:rsid w:val="0077397C"/>
    <w:rsid w:val="0077449F"/>
    <w:rsid w:val="007901CB"/>
    <w:rsid w:val="00793658"/>
    <w:rsid w:val="00794C9F"/>
    <w:rsid w:val="007A21C3"/>
    <w:rsid w:val="007B2DFD"/>
    <w:rsid w:val="007D2DEC"/>
    <w:rsid w:val="00805DB0"/>
    <w:rsid w:val="00807215"/>
    <w:rsid w:val="00807409"/>
    <w:rsid w:val="00810AF4"/>
    <w:rsid w:val="00816ED5"/>
    <w:rsid w:val="008234C5"/>
    <w:rsid w:val="00823B0C"/>
    <w:rsid w:val="008330AB"/>
    <w:rsid w:val="00841394"/>
    <w:rsid w:val="008460C6"/>
    <w:rsid w:val="00850A48"/>
    <w:rsid w:val="008606FD"/>
    <w:rsid w:val="00861D4E"/>
    <w:rsid w:val="00863BA9"/>
    <w:rsid w:val="00867FDC"/>
    <w:rsid w:val="00873C10"/>
    <w:rsid w:val="00874299"/>
    <w:rsid w:val="008808C2"/>
    <w:rsid w:val="008A6F2A"/>
    <w:rsid w:val="008D5945"/>
    <w:rsid w:val="008E0982"/>
    <w:rsid w:val="008F5FF3"/>
    <w:rsid w:val="009129D1"/>
    <w:rsid w:val="009213C2"/>
    <w:rsid w:val="0093117C"/>
    <w:rsid w:val="00933AA7"/>
    <w:rsid w:val="00953EC8"/>
    <w:rsid w:val="00954326"/>
    <w:rsid w:val="00966AE3"/>
    <w:rsid w:val="009A44C4"/>
    <w:rsid w:val="009A476C"/>
    <w:rsid w:val="009B230C"/>
    <w:rsid w:val="009B630A"/>
    <w:rsid w:val="009C5E47"/>
    <w:rsid w:val="009D1AB3"/>
    <w:rsid w:val="009D667B"/>
    <w:rsid w:val="009F6CD6"/>
    <w:rsid w:val="00A0080D"/>
    <w:rsid w:val="00A15656"/>
    <w:rsid w:val="00A16202"/>
    <w:rsid w:val="00A23692"/>
    <w:rsid w:val="00A307D4"/>
    <w:rsid w:val="00A32667"/>
    <w:rsid w:val="00A37509"/>
    <w:rsid w:val="00A403C0"/>
    <w:rsid w:val="00A508DF"/>
    <w:rsid w:val="00A539DF"/>
    <w:rsid w:val="00A55B2A"/>
    <w:rsid w:val="00A6575D"/>
    <w:rsid w:val="00A66CAB"/>
    <w:rsid w:val="00A72206"/>
    <w:rsid w:val="00A74479"/>
    <w:rsid w:val="00A92AB7"/>
    <w:rsid w:val="00A9753B"/>
    <w:rsid w:val="00AA198B"/>
    <w:rsid w:val="00AA6615"/>
    <w:rsid w:val="00AA71BD"/>
    <w:rsid w:val="00AB1482"/>
    <w:rsid w:val="00AB34FF"/>
    <w:rsid w:val="00AC474A"/>
    <w:rsid w:val="00AC6C52"/>
    <w:rsid w:val="00AD2C2A"/>
    <w:rsid w:val="00AD3021"/>
    <w:rsid w:val="00AE39C3"/>
    <w:rsid w:val="00AE4307"/>
    <w:rsid w:val="00AE5075"/>
    <w:rsid w:val="00B07874"/>
    <w:rsid w:val="00B21CD4"/>
    <w:rsid w:val="00B41990"/>
    <w:rsid w:val="00B53299"/>
    <w:rsid w:val="00B73411"/>
    <w:rsid w:val="00B956CF"/>
    <w:rsid w:val="00BA1A9F"/>
    <w:rsid w:val="00BB0A5F"/>
    <w:rsid w:val="00BB2018"/>
    <w:rsid w:val="00BB563E"/>
    <w:rsid w:val="00BB709A"/>
    <w:rsid w:val="00BC1113"/>
    <w:rsid w:val="00BD52BC"/>
    <w:rsid w:val="00BE04AB"/>
    <w:rsid w:val="00BF47C3"/>
    <w:rsid w:val="00C02F7A"/>
    <w:rsid w:val="00C1019B"/>
    <w:rsid w:val="00C11ED4"/>
    <w:rsid w:val="00C27D8F"/>
    <w:rsid w:val="00C324C5"/>
    <w:rsid w:val="00C32810"/>
    <w:rsid w:val="00C36DF1"/>
    <w:rsid w:val="00C376D5"/>
    <w:rsid w:val="00C63D31"/>
    <w:rsid w:val="00C640B4"/>
    <w:rsid w:val="00C64C51"/>
    <w:rsid w:val="00C82160"/>
    <w:rsid w:val="00C92AF1"/>
    <w:rsid w:val="00C94155"/>
    <w:rsid w:val="00CA7EA5"/>
    <w:rsid w:val="00CC1C0F"/>
    <w:rsid w:val="00CD211A"/>
    <w:rsid w:val="00CF7327"/>
    <w:rsid w:val="00D04270"/>
    <w:rsid w:val="00D056A9"/>
    <w:rsid w:val="00D15927"/>
    <w:rsid w:val="00D204B8"/>
    <w:rsid w:val="00D2479B"/>
    <w:rsid w:val="00D26E2F"/>
    <w:rsid w:val="00D30AB7"/>
    <w:rsid w:val="00D32696"/>
    <w:rsid w:val="00D35F8B"/>
    <w:rsid w:val="00D365D3"/>
    <w:rsid w:val="00D4703D"/>
    <w:rsid w:val="00D63B2B"/>
    <w:rsid w:val="00D76242"/>
    <w:rsid w:val="00D7707E"/>
    <w:rsid w:val="00D77BA0"/>
    <w:rsid w:val="00DA5F54"/>
    <w:rsid w:val="00DA7115"/>
    <w:rsid w:val="00DB644F"/>
    <w:rsid w:val="00DC2B69"/>
    <w:rsid w:val="00DC5171"/>
    <w:rsid w:val="00DD244A"/>
    <w:rsid w:val="00DD400B"/>
    <w:rsid w:val="00DD4617"/>
    <w:rsid w:val="00DD6D2A"/>
    <w:rsid w:val="00DF0C5B"/>
    <w:rsid w:val="00DF6CBF"/>
    <w:rsid w:val="00E02BCD"/>
    <w:rsid w:val="00E33B0E"/>
    <w:rsid w:val="00E3416F"/>
    <w:rsid w:val="00E37BC5"/>
    <w:rsid w:val="00E42E8C"/>
    <w:rsid w:val="00E46316"/>
    <w:rsid w:val="00E47D54"/>
    <w:rsid w:val="00E50D3A"/>
    <w:rsid w:val="00E52149"/>
    <w:rsid w:val="00E606E0"/>
    <w:rsid w:val="00E653C3"/>
    <w:rsid w:val="00E655B9"/>
    <w:rsid w:val="00E6586C"/>
    <w:rsid w:val="00E65DF2"/>
    <w:rsid w:val="00E73BB1"/>
    <w:rsid w:val="00E81EA8"/>
    <w:rsid w:val="00E8247E"/>
    <w:rsid w:val="00E9106C"/>
    <w:rsid w:val="00E92BB6"/>
    <w:rsid w:val="00E93DF5"/>
    <w:rsid w:val="00E95E36"/>
    <w:rsid w:val="00EA2E2F"/>
    <w:rsid w:val="00EB04F3"/>
    <w:rsid w:val="00EB535E"/>
    <w:rsid w:val="00EB72F1"/>
    <w:rsid w:val="00EB7FDA"/>
    <w:rsid w:val="00EC2BE6"/>
    <w:rsid w:val="00EC6FB5"/>
    <w:rsid w:val="00ED3006"/>
    <w:rsid w:val="00ED4CBA"/>
    <w:rsid w:val="00ED4D23"/>
    <w:rsid w:val="00EE59E4"/>
    <w:rsid w:val="00EF1D26"/>
    <w:rsid w:val="00EF2E7C"/>
    <w:rsid w:val="00F00A8C"/>
    <w:rsid w:val="00F01FFF"/>
    <w:rsid w:val="00F04B61"/>
    <w:rsid w:val="00F05B41"/>
    <w:rsid w:val="00F06288"/>
    <w:rsid w:val="00F079B9"/>
    <w:rsid w:val="00F1076B"/>
    <w:rsid w:val="00F11BC6"/>
    <w:rsid w:val="00F13EAD"/>
    <w:rsid w:val="00F160DC"/>
    <w:rsid w:val="00F27EDA"/>
    <w:rsid w:val="00F362B3"/>
    <w:rsid w:val="00F41079"/>
    <w:rsid w:val="00F41BAA"/>
    <w:rsid w:val="00F530A2"/>
    <w:rsid w:val="00F55221"/>
    <w:rsid w:val="00F56F3D"/>
    <w:rsid w:val="00F81E17"/>
    <w:rsid w:val="00F86409"/>
    <w:rsid w:val="00F922A6"/>
    <w:rsid w:val="00FA5FD5"/>
    <w:rsid w:val="00FB673F"/>
    <w:rsid w:val="00FB716D"/>
    <w:rsid w:val="00FC141F"/>
    <w:rsid w:val="00FD5716"/>
    <w:rsid w:val="00FD6F84"/>
    <w:rsid w:val="00FD782D"/>
    <w:rsid w:val="00FE015C"/>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6C4"/>
    <w:pPr>
      <w:widowControl w:val="0"/>
      <w:spacing w:line="312" w:lineRule="auto"/>
    </w:pPr>
    <w:rPr>
      <w:rFonts w:ascii="Garamond" w:hAnsi="Garamond"/>
      <w:sz w:val="20"/>
      <w:szCs w:val="24"/>
    </w:rPr>
  </w:style>
  <w:style w:type="paragraph" w:styleId="Ttulo1">
    <w:name w:val="heading 1"/>
    <w:aliases w:val="Subemisor 1"/>
    <w:basedOn w:val="Normal"/>
    <w:next w:val="Normal"/>
    <w:link w:val="Ttulo1Car"/>
    <w:uiPriority w:val="99"/>
    <w:qFormat/>
    <w:rsid w:val="000826C4"/>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Pr>
      <w:rFonts w:ascii="Cambria" w:hAnsi="Cambria" w:cs="Times New Roman"/>
      <w:b/>
      <w:bCs/>
      <w:kern w:val="32"/>
      <w:sz w:val="32"/>
      <w:szCs w:val="32"/>
    </w:rPr>
  </w:style>
  <w:style w:type="character" w:styleId="Hipervnculo">
    <w:name w:val="Hyperlink"/>
    <w:basedOn w:val="Fuentedeprrafopredeter"/>
    <w:uiPriority w:val="99"/>
    <w:rsid w:val="000826C4"/>
    <w:rPr>
      <w:rFonts w:cs="Times New Roman"/>
      <w:color w:val="0000FF"/>
      <w:u w:val="single"/>
    </w:rPr>
  </w:style>
  <w:style w:type="paragraph" w:customStyle="1" w:styleId="Textoencabezado">
    <w:name w:val="Texto encabezado"/>
    <w:uiPriority w:val="99"/>
    <w:rsid w:val="000826C4"/>
    <w:pPr>
      <w:widowControl w:val="0"/>
    </w:pPr>
    <w:rPr>
      <w:rFonts w:ascii="Helvetica 55 Roman" w:hAnsi="Helvetica 55 Roman"/>
      <w:color w:val="717579"/>
      <w:sz w:val="16"/>
      <w:szCs w:val="20"/>
    </w:rPr>
  </w:style>
  <w:style w:type="paragraph" w:styleId="Textoindependiente">
    <w:name w:val="Body Text"/>
    <w:basedOn w:val="Normal"/>
    <w:link w:val="TextoindependienteCar"/>
    <w:rsid w:val="000826C4"/>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basedOn w:val="Fuentedeprrafopredeter"/>
    <w:link w:val="Textoindependiente"/>
    <w:uiPriority w:val="99"/>
    <w:semiHidden/>
    <w:locked/>
    <w:rPr>
      <w:rFonts w:ascii="Garamond" w:hAnsi="Garamond" w:cs="Times New Roman"/>
      <w:sz w:val="24"/>
      <w:szCs w:val="24"/>
    </w:rPr>
  </w:style>
  <w:style w:type="paragraph" w:customStyle="1" w:styleId="Titulo1">
    <w:name w:val="Titulo1"/>
    <w:aliases w:val="Subemisor 2"/>
    <w:basedOn w:val="Ttulo1"/>
    <w:uiPriority w:val="99"/>
    <w:rsid w:val="000826C4"/>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basedOn w:val="Fuentedeprrafopredeter"/>
    <w:link w:val="Encabezado"/>
    <w:uiPriority w:val="99"/>
    <w:semiHidden/>
    <w:locked/>
    <w:rPr>
      <w:rFonts w:ascii="Garamond" w:hAnsi="Garamond" w:cs="Times New Roman"/>
      <w:sz w:val="24"/>
      <w:szCs w:val="24"/>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basedOn w:val="Fuentedeprrafopredeter"/>
    <w:link w:val="Piedepgina"/>
    <w:uiPriority w:val="99"/>
    <w:semiHidden/>
    <w:locked/>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rPr>
  </w:style>
  <w:style w:type="table" w:styleId="Tablaconcuadrcula">
    <w:name w:val="Table Grid"/>
    <w:basedOn w:val="Tablanormal"/>
    <w:uiPriority w:val="99"/>
    <w:rsid w:val="00D056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uiPriority w:val="99"/>
    <w:rsid w:val="00A66CAB"/>
    <w:rPr>
      <w:rFonts w:cs="Times New Roman"/>
    </w:rPr>
  </w:style>
  <w:style w:type="paragraph" w:customStyle="1" w:styleId="Prrafodelista1">
    <w:name w:val="Párrafo de lista1"/>
    <w:basedOn w:val="Normal"/>
    <w:uiPriority w:val="99"/>
    <w:rsid w:val="004F52B8"/>
    <w:pPr>
      <w:widowControl/>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6C4"/>
    <w:pPr>
      <w:widowControl w:val="0"/>
      <w:spacing w:line="312" w:lineRule="auto"/>
    </w:pPr>
    <w:rPr>
      <w:rFonts w:ascii="Garamond" w:hAnsi="Garamond"/>
      <w:sz w:val="20"/>
      <w:szCs w:val="24"/>
    </w:rPr>
  </w:style>
  <w:style w:type="paragraph" w:styleId="Ttulo1">
    <w:name w:val="heading 1"/>
    <w:aliases w:val="Subemisor 1"/>
    <w:basedOn w:val="Normal"/>
    <w:next w:val="Normal"/>
    <w:link w:val="Ttulo1Car"/>
    <w:uiPriority w:val="99"/>
    <w:qFormat/>
    <w:rsid w:val="000826C4"/>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Pr>
      <w:rFonts w:ascii="Cambria" w:hAnsi="Cambria" w:cs="Times New Roman"/>
      <w:b/>
      <w:bCs/>
      <w:kern w:val="32"/>
      <w:sz w:val="32"/>
      <w:szCs w:val="32"/>
    </w:rPr>
  </w:style>
  <w:style w:type="character" w:styleId="Hipervnculo">
    <w:name w:val="Hyperlink"/>
    <w:basedOn w:val="Fuentedeprrafopredeter"/>
    <w:uiPriority w:val="99"/>
    <w:rsid w:val="000826C4"/>
    <w:rPr>
      <w:rFonts w:cs="Times New Roman"/>
      <w:color w:val="0000FF"/>
      <w:u w:val="single"/>
    </w:rPr>
  </w:style>
  <w:style w:type="paragraph" w:customStyle="1" w:styleId="Textoencabezado">
    <w:name w:val="Texto encabezado"/>
    <w:uiPriority w:val="99"/>
    <w:rsid w:val="000826C4"/>
    <w:pPr>
      <w:widowControl w:val="0"/>
    </w:pPr>
    <w:rPr>
      <w:rFonts w:ascii="Helvetica 55 Roman" w:hAnsi="Helvetica 55 Roman"/>
      <w:color w:val="717579"/>
      <w:sz w:val="16"/>
      <w:szCs w:val="20"/>
    </w:rPr>
  </w:style>
  <w:style w:type="paragraph" w:styleId="Textoindependiente">
    <w:name w:val="Body Text"/>
    <w:basedOn w:val="Normal"/>
    <w:link w:val="TextoindependienteCar"/>
    <w:rsid w:val="000826C4"/>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basedOn w:val="Fuentedeprrafopredeter"/>
    <w:link w:val="Textoindependiente"/>
    <w:uiPriority w:val="99"/>
    <w:semiHidden/>
    <w:locked/>
    <w:rPr>
      <w:rFonts w:ascii="Garamond" w:hAnsi="Garamond" w:cs="Times New Roman"/>
      <w:sz w:val="24"/>
      <w:szCs w:val="24"/>
    </w:rPr>
  </w:style>
  <w:style w:type="paragraph" w:customStyle="1" w:styleId="Titulo1">
    <w:name w:val="Titulo1"/>
    <w:aliases w:val="Subemisor 2"/>
    <w:basedOn w:val="Ttulo1"/>
    <w:uiPriority w:val="99"/>
    <w:rsid w:val="000826C4"/>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basedOn w:val="Fuentedeprrafopredeter"/>
    <w:link w:val="Encabezado"/>
    <w:uiPriority w:val="99"/>
    <w:semiHidden/>
    <w:locked/>
    <w:rPr>
      <w:rFonts w:ascii="Garamond" w:hAnsi="Garamond" w:cs="Times New Roman"/>
      <w:sz w:val="24"/>
      <w:szCs w:val="24"/>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basedOn w:val="Fuentedeprrafopredeter"/>
    <w:link w:val="Piedepgina"/>
    <w:uiPriority w:val="99"/>
    <w:semiHidden/>
    <w:locked/>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rPr>
  </w:style>
  <w:style w:type="table" w:styleId="Tablaconcuadrcula">
    <w:name w:val="Table Grid"/>
    <w:basedOn w:val="Tablanormal"/>
    <w:uiPriority w:val="99"/>
    <w:rsid w:val="00D056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uiPriority w:val="99"/>
    <w:rsid w:val="00A66CAB"/>
    <w:rPr>
      <w:rFonts w:cs="Times New Roman"/>
    </w:rPr>
  </w:style>
  <w:style w:type="paragraph" w:customStyle="1" w:styleId="Prrafodelista1">
    <w:name w:val="Párrafo de lista1"/>
    <w:basedOn w:val="Normal"/>
    <w:uiPriority w:val="99"/>
    <w:rsid w:val="004F52B8"/>
    <w:pPr>
      <w:widowControl/>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77769">
      <w:bodyDiv w:val="1"/>
      <w:marLeft w:val="0"/>
      <w:marRight w:val="0"/>
      <w:marTop w:val="0"/>
      <w:marBottom w:val="0"/>
      <w:divBdr>
        <w:top w:val="none" w:sz="0" w:space="0" w:color="auto"/>
        <w:left w:val="none" w:sz="0" w:space="0" w:color="auto"/>
        <w:bottom w:val="none" w:sz="0" w:space="0" w:color="auto"/>
        <w:right w:val="none" w:sz="0" w:space="0" w:color="auto"/>
      </w:divBdr>
    </w:div>
    <w:div w:id="1500347407">
      <w:marLeft w:val="0"/>
      <w:marRight w:val="0"/>
      <w:marTop w:val="0"/>
      <w:marBottom w:val="0"/>
      <w:divBdr>
        <w:top w:val="none" w:sz="0" w:space="0" w:color="auto"/>
        <w:left w:val="none" w:sz="0" w:space="0" w:color="auto"/>
        <w:bottom w:val="none" w:sz="0" w:space="0" w:color="auto"/>
        <w:right w:val="none" w:sz="0" w:space="0" w:color="auto"/>
      </w:divBdr>
    </w:div>
    <w:div w:id="1500347408">
      <w:marLeft w:val="0"/>
      <w:marRight w:val="0"/>
      <w:marTop w:val="0"/>
      <w:marBottom w:val="0"/>
      <w:divBdr>
        <w:top w:val="none" w:sz="0" w:space="0" w:color="auto"/>
        <w:left w:val="none" w:sz="0" w:space="0" w:color="auto"/>
        <w:bottom w:val="none" w:sz="0" w:space="0" w:color="auto"/>
        <w:right w:val="none" w:sz="0" w:space="0" w:color="auto"/>
      </w:divBdr>
    </w:div>
    <w:div w:id="1500347409">
      <w:marLeft w:val="0"/>
      <w:marRight w:val="0"/>
      <w:marTop w:val="0"/>
      <w:marBottom w:val="0"/>
      <w:divBdr>
        <w:top w:val="none" w:sz="0" w:space="0" w:color="auto"/>
        <w:left w:val="none" w:sz="0" w:space="0" w:color="auto"/>
        <w:bottom w:val="none" w:sz="0" w:space="0" w:color="auto"/>
        <w:right w:val="none" w:sz="0" w:space="0" w:color="auto"/>
      </w:divBdr>
    </w:div>
    <w:div w:id="1500347410">
      <w:marLeft w:val="0"/>
      <w:marRight w:val="0"/>
      <w:marTop w:val="0"/>
      <w:marBottom w:val="0"/>
      <w:divBdr>
        <w:top w:val="none" w:sz="0" w:space="0" w:color="auto"/>
        <w:left w:val="none" w:sz="0" w:space="0" w:color="auto"/>
        <w:bottom w:val="none" w:sz="0" w:space="0" w:color="auto"/>
        <w:right w:val="none" w:sz="0" w:space="0" w:color="auto"/>
      </w:divBdr>
    </w:div>
    <w:div w:id="1500347411">
      <w:marLeft w:val="0"/>
      <w:marRight w:val="0"/>
      <w:marTop w:val="0"/>
      <w:marBottom w:val="0"/>
      <w:divBdr>
        <w:top w:val="none" w:sz="0" w:space="0" w:color="auto"/>
        <w:left w:val="none" w:sz="0" w:space="0" w:color="auto"/>
        <w:bottom w:val="none" w:sz="0" w:space="0" w:color="auto"/>
        <w:right w:val="none" w:sz="0" w:space="0" w:color="auto"/>
      </w:divBdr>
    </w:div>
    <w:div w:id="1500347412">
      <w:marLeft w:val="0"/>
      <w:marRight w:val="0"/>
      <w:marTop w:val="0"/>
      <w:marBottom w:val="0"/>
      <w:divBdr>
        <w:top w:val="none" w:sz="0" w:space="0" w:color="auto"/>
        <w:left w:val="none" w:sz="0" w:space="0" w:color="auto"/>
        <w:bottom w:val="none" w:sz="0" w:space="0" w:color="auto"/>
        <w:right w:val="none" w:sz="0" w:space="0" w:color="auto"/>
      </w:divBdr>
    </w:div>
    <w:div w:id="1500347413">
      <w:marLeft w:val="0"/>
      <w:marRight w:val="0"/>
      <w:marTop w:val="0"/>
      <w:marBottom w:val="0"/>
      <w:divBdr>
        <w:top w:val="none" w:sz="0" w:space="0" w:color="auto"/>
        <w:left w:val="none" w:sz="0" w:space="0" w:color="auto"/>
        <w:bottom w:val="none" w:sz="0" w:space="0" w:color="auto"/>
        <w:right w:val="none" w:sz="0" w:space="0" w:color="auto"/>
      </w:divBdr>
    </w:div>
    <w:div w:id="1500347414">
      <w:marLeft w:val="0"/>
      <w:marRight w:val="0"/>
      <w:marTop w:val="0"/>
      <w:marBottom w:val="0"/>
      <w:divBdr>
        <w:top w:val="none" w:sz="0" w:space="0" w:color="auto"/>
        <w:left w:val="none" w:sz="0" w:space="0" w:color="auto"/>
        <w:bottom w:val="none" w:sz="0" w:space="0" w:color="auto"/>
        <w:right w:val="none" w:sz="0" w:space="0" w:color="auto"/>
      </w:divBdr>
    </w:div>
    <w:div w:id="1500347415">
      <w:marLeft w:val="0"/>
      <w:marRight w:val="0"/>
      <w:marTop w:val="0"/>
      <w:marBottom w:val="0"/>
      <w:divBdr>
        <w:top w:val="none" w:sz="0" w:space="0" w:color="auto"/>
        <w:left w:val="none" w:sz="0" w:space="0" w:color="auto"/>
        <w:bottom w:val="none" w:sz="0" w:space="0" w:color="auto"/>
        <w:right w:val="none" w:sz="0" w:space="0" w:color="auto"/>
      </w:divBdr>
    </w:div>
    <w:div w:id="1500347416">
      <w:marLeft w:val="0"/>
      <w:marRight w:val="0"/>
      <w:marTop w:val="0"/>
      <w:marBottom w:val="0"/>
      <w:divBdr>
        <w:top w:val="none" w:sz="0" w:space="0" w:color="auto"/>
        <w:left w:val="none" w:sz="0" w:space="0" w:color="auto"/>
        <w:bottom w:val="none" w:sz="0" w:space="0" w:color="auto"/>
        <w:right w:val="none" w:sz="0" w:space="0" w:color="auto"/>
      </w:divBdr>
    </w:div>
    <w:div w:id="1500347417">
      <w:marLeft w:val="0"/>
      <w:marRight w:val="0"/>
      <w:marTop w:val="0"/>
      <w:marBottom w:val="0"/>
      <w:divBdr>
        <w:top w:val="none" w:sz="0" w:space="0" w:color="auto"/>
        <w:left w:val="none" w:sz="0" w:space="0" w:color="auto"/>
        <w:bottom w:val="none" w:sz="0" w:space="0" w:color="auto"/>
        <w:right w:val="none" w:sz="0" w:space="0" w:color="auto"/>
      </w:divBdr>
    </w:div>
    <w:div w:id="1500347418">
      <w:marLeft w:val="0"/>
      <w:marRight w:val="0"/>
      <w:marTop w:val="0"/>
      <w:marBottom w:val="0"/>
      <w:divBdr>
        <w:top w:val="none" w:sz="0" w:space="0" w:color="auto"/>
        <w:left w:val="none" w:sz="0" w:space="0" w:color="auto"/>
        <w:bottom w:val="none" w:sz="0" w:space="0" w:color="auto"/>
        <w:right w:val="none" w:sz="0" w:space="0" w:color="auto"/>
      </w:divBdr>
    </w:div>
    <w:div w:id="1500347419">
      <w:marLeft w:val="0"/>
      <w:marRight w:val="0"/>
      <w:marTop w:val="0"/>
      <w:marBottom w:val="0"/>
      <w:divBdr>
        <w:top w:val="none" w:sz="0" w:space="0" w:color="auto"/>
        <w:left w:val="none" w:sz="0" w:space="0" w:color="auto"/>
        <w:bottom w:val="none" w:sz="0" w:space="0" w:color="auto"/>
        <w:right w:val="none" w:sz="0" w:space="0" w:color="auto"/>
      </w:divBdr>
    </w:div>
    <w:div w:id="1500347420">
      <w:marLeft w:val="0"/>
      <w:marRight w:val="0"/>
      <w:marTop w:val="0"/>
      <w:marBottom w:val="0"/>
      <w:divBdr>
        <w:top w:val="none" w:sz="0" w:space="0" w:color="auto"/>
        <w:left w:val="none" w:sz="0" w:space="0" w:color="auto"/>
        <w:bottom w:val="none" w:sz="0" w:space="0" w:color="auto"/>
        <w:right w:val="none" w:sz="0" w:space="0" w:color="auto"/>
      </w:divBdr>
    </w:div>
    <w:div w:id="1500347421">
      <w:marLeft w:val="0"/>
      <w:marRight w:val="0"/>
      <w:marTop w:val="0"/>
      <w:marBottom w:val="0"/>
      <w:divBdr>
        <w:top w:val="none" w:sz="0" w:space="0" w:color="auto"/>
        <w:left w:val="none" w:sz="0" w:space="0" w:color="auto"/>
        <w:bottom w:val="none" w:sz="0" w:space="0" w:color="auto"/>
        <w:right w:val="none" w:sz="0" w:space="0" w:color="auto"/>
      </w:divBdr>
    </w:div>
    <w:div w:id="1500347422">
      <w:marLeft w:val="0"/>
      <w:marRight w:val="0"/>
      <w:marTop w:val="0"/>
      <w:marBottom w:val="0"/>
      <w:divBdr>
        <w:top w:val="none" w:sz="0" w:space="0" w:color="auto"/>
        <w:left w:val="none" w:sz="0" w:space="0" w:color="auto"/>
        <w:bottom w:val="none" w:sz="0" w:space="0" w:color="auto"/>
        <w:right w:val="none" w:sz="0" w:space="0" w:color="auto"/>
      </w:divBdr>
    </w:div>
    <w:div w:id="1500347423">
      <w:marLeft w:val="0"/>
      <w:marRight w:val="0"/>
      <w:marTop w:val="0"/>
      <w:marBottom w:val="0"/>
      <w:divBdr>
        <w:top w:val="none" w:sz="0" w:space="0" w:color="auto"/>
        <w:left w:val="none" w:sz="0" w:space="0" w:color="auto"/>
        <w:bottom w:val="none" w:sz="0" w:space="0" w:color="auto"/>
        <w:right w:val="none" w:sz="0" w:space="0" w:color="auto"/>
      </w:divBdr>
    </w:div>
    <w:div w:id="1500347424">
      <w:marLeft w:val="0"/>
      <w:marRight w:val="0"/>
      <w:marTop w:val="0"/>
      <w:marBottom w:val="0"/>
      <w:divBdr>
        <w:top w:val="none" w:sz="0" w:space="0" w:color="auto"/>
        <w:left w:val="none" w:sz="0" w:space="0" w:color="auto"/>
        <w:bottom w:val="none" w:sz="0" w:space="0" w:color="auto"/>
        <w:right w:val="none" w:sz="0" w:space="0" w:color="auto"/>
      </w:divBdr>
    </w:div>
    <w:div w:id="1500347425">
      <w:marLeft w:val="0"/>
      <w:marRight w:val="0"/>
      <w:marTop w:val="0"/>
      <w:marBottom w:val="0"/>
      <w:divBdr>
        <w:top w:val="none" w:sz="0" w:space="0" w:color="auto"/>
        <w:left w:val="none" w:sz="0" w:space="0" w:color="auto"/>
        <w:bottom w:val="none" w:sz="0" w:space="0" w:color="auto"/>
        <w:right w:val="none" w:sz="0" w:space="0" w:color="auto"/>
      </w:divBdr>
    </w:div>
    <w:div w:id="1500347426">
      <w:marLeft w:val="0"/>
      <w:marRight w:val="0"/>
      <w:marTop w:val="0"/>
      <w:marBottom w:val="0"/>
      <w:divBdr>
        <w:top w:val="none" w:sz="0" w:space="0" w:color="auto"/>
        <w:left w:val="none" w:sz="0" w:space="0" w:color="auto"/>
        <w:bottom w:val="none" w:sz="0" w:space="0" w:color="auto"/>
        <w:right w:val="none" w:sz="0" w:space="0" w:color="auto"/>
      </w:divBdr>
    </w:div>
    <w:div w:id="1500347427">
      <w:marLeft w:val="0"/>
      <w:marRight w:val="0"/>
      <w:marTop w:val="0"/>
      <w:marBottom w:val="0"/>
      <w:divBdr>
        <w:top w:val="none" w:sz="0" w:space="0" w:color="auto"/>
        <w:left w:val="none" w:sz="0" w:space="0" w:color="auto"/>
        <w:bottom w:val="none" w:sz="0" w:space="0" w:color="auto"/>
        <w:right w:val="none" w:sz="0" w:space="0" w:color="auto"/>
      </w:divBdr>
    </w:div>
    <w:div w:id="1500347428">
      <w:marLeft w:val="0"/>
      <w:marRight w:val="0"/>
      <w:marTop w:val="0"/>
      <w:marBottom w:val="0"/>
      <w:divBdr>
        <w:top w:val="none" w:sz="0" w:space="0" w:color="auto"/>
        <w:left w:val="none" w:sz="0" w:space="0" w:color="auto"/>
        <w:bottom w:val="none" w:sz="0" w:space="0" w:color="auto"/>
        <w:right w:val="none" w:sz="0" w:space="0" w:color="auto"/>
      </w:divBdr>
    </w:div>
    <w:div w:id="15003474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77D3B-0D90-4738-8593-7B995886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plantilla_carta_primera_hoja_byn</Template>
  <TotalTime>12</TotalTime>
  <Pages>2</Pages>
  <Words>381</Words>
  <Characters>2097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Rosa Pardo</cp:lastModifiedBy>
  <cp:revision>3</cp:revision>
  <cp:lastPrinted>2017-07-14T08:16:00Z</cp:lastPrinted>
  <dcterms:created xsi:type="dcterms:W3CDTF">2017-07-14T07:29:00Z</dcterms:created>
  <dcterms:modified xsi:type="dcterms:W3CDTF">2017-07-14T08:17:00Z</dcterms:modified>
</cp:coreProperties>
</file>